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05" w:leftChars="50" w:firstLine="2730" w:firstLineChars="1300"/>
        <w:rPr>
          <w:rFonts w:hint="eastAsia" w:ascii="宋体" w:hAnsi="宋体" w:eastAsia="宋体"/>
          <w:sz w:val="21"/>
          <w:szCs w:val="21"/>
        </w:rPr>
      </w:pPr>
      <w:bookmarkStart w:id="0" w:name="_Toc413928113"/>
      <w:bookmarkStart w:id="1" w:name="_Toc488088493"/>
      <w:r>
        <w:rPr>
          <w:rFonts w:hint="eastAsia" w:ascii="宋体" w:hAnsi="宋体" w:eastAsia="宋体"/>
          <w:sz w:val="21"/>
          <w:szCs w:val="21"/>
        </w:rPr>
        <w:t>附件</w:t>
      </w:r>
      <w:bookmarkEnd w:id="0"/>
      <w:r>
        <w:rPr>
          <w:rFonts w:hint="eastAsia" w:ascii="宋体" w:hAnsi="宋体" w:eastAsia="宋体"/>
          <w:sz w:val="21"/>
          <w:szCs w:val="21"/>
        </w:rPr>
        <w:t xml:space="preserve">                  物资包件划分一览</w:t>
      </w:r>
      <w:bookmarkStart w:id="2" w:name="_GoBack"/>
      <w:bookmarkEnd w:id="2"/>
      <w:r>
        <w:rPr>
          <w:rFonts w:hint="eastAsia" w:ascii="宋体" w:hAnsi="宋体" w:eastAsia="宋体"/>
          <w:sz w:val="21"/>
          <w:szCs w:val="21"/>
        </w:rPr>
        <w:t>表</w:t>
      </w:r>
      <w:bookmarkEnd w:id="1"/>
    </w:p>
    <w:tbl>
      <w:tblPr>
        <w:tblStyle w:val="4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24"/>
        <w:gridCol w:w="1419"/>
        <w:gridCol w:w="4105"/>
        <w:gridCol w:w="708"/>
        <w:gridCol w:w="830"/>
        <w:gridCol w:w="3193"/>
        <w:gridCol w:w="126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64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包件号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包件名称</w:t>
            </w:r>
          </w:p>
        </w:tc>
        <w:tc>
          <w:tcPr>
            <w:tcW w:w="410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物资名称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319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投标人资格要求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招标文件售价（元）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JW-01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工具</w:t>
            </w:r>
          </w:p>
        </w:tc>
        <w:tc>
          <w:tcPr>
            <w:tcW w:w="4105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台式钻床    Z4012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9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1）在中华人民共和国境内依法注册、</w:t>
            </w:r>
            <w:r>
              <w:rPr>
                <w:color w:val="000000"/>
                <w:kern w:val="0"/>
                <w:sz w:val="18"/>
                <w:szCs w:val="18"/>
              </w:rPr>
              <w:t>具有一般纳税人资格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、并符合投标项目经营范围、具有招标物资生产能力、具有法人资格能独立承担民事责任的生产商或代理商。</w:t>
            </w:r>
          </w:p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（2）生产</w:t>
            </w:r>
            <w:r>
              <w:rPr>
                <w:color w:val="000000"/>
                <w:kern w:val="0"/>
                <w:sz w:val="18"/>
                <w:szCs w:val="18"/>
              </w:rPr>
              <w:t>商注册资本金不少于人民币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1000万</w:t>
            </w:r>
            <w:r>
              <w:rPr>
                <w:color w:val="000000"/>
                <w:kern w:val="0"/>
                <w:sz w:val="18"/>
                <w:szCs w:val="18"/>
              </w:rPr>
              <w:t>元（含）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，代理商</w:t>
            </w:r>
            <w:r>
              <w:rPr>
                <w:color w:val="000000"/>
                <w:kern w:val="0"/>
                <w:sz w:val="18"/>
                <w:szCs w:val="18"/>
              </w:rPr>
              <w:t>注册资本金不少于人民币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100万</w:t>
            </w:r>
            <w:r>
              <w:rPr>
                <w:color w:val="000000"/>
                <w:kern w:val="0"/>
                <w:sz w:val="18"/>
                <w:szCs w:val="18"/>
              </w:rPr>
              <w:t>元（含）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（7）</w:t>
            </w:r>
            <w:r>
              <w:rPr>
                <w:rFonts w:hint="eastAsia"/>
                <w:sz w:val="18"/>
                <w:szCs w:val="18"/>
              </w:rPr>
              <w:t>一个生产厂家只能授权一个代理商，并且生产厂家与所授权代理商不能同时对同一个包件进行投标。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除尘式砂轮机    MC3030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交流弧焊机    BX1-300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立式油罐及支架（２立方）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电动油桶泵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油桶搬运小车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人工运砂小车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辆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打印机机UPS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工具柜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JW-02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股道管理设备</w:t>
            </w:r>
          </w:p>
        </w:tc>
        <w:tc>
          <w:tcPr>
            <w:tcW w:w="4105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股道管理自动化设备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19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1）在中华人民共和国境内依法注册、</w:t>
            </w:r>
            <w:r>
              <w:rPr>
                <w:color w:val="000000"/>
                <w:kern w:val="0"/>
                <w:sz w:val="18"/>
                <w:szCs w:val="18"/>
              </w:rPr>
              <w:t>具有一般纳税人资格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、并符合投标项目经营范围、具有招标物资生产能力、具有法人资格能独立承担民事责任的生产商或代理商。</w:t>
            </w:r>
          </w:p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（2）生厂商</w:t>
            </w:r>
            <w:r>
              <w:rPr>
                <w:color w:val="000000"/>
                <w:kern w:val="0"/>
                <w:sz w:val="18"/>
                <w:szCs w:val="18"/>
              </w:rPr>
              <w:t>注册资本金不少于人民币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1000万</w:t>
            </w:r>
            <w:r>
              <w:rPr>
                <w:color w:val="000000"/>
                <w:kern w:val="0"/>
                <w:sz w:val="18"/>
                <w:szCs w:val="18"/>
              </w:rPr>
              <w:t>元（含）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，代理商注册资本金不少于人民币100万元（含）。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（7）</w:t>
            </w:r>
            <w:r>
              <w:rPr>
                <w:rFonts w:hint="eastAsia"/>
                <w:sz w:val="18"/>
                <w:szCs w:val="18"/>
              </w:rPr>
              <w:t>一个生产厂家只能授权一个代理商，并且生产厂家与所授权代理商不能同时对同一个包件进行投标。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隔离开关标志灯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JW-03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机车转车盘</w:t>
            </w:r>
          </w:p>
        </w:tc>
        <w:tc>
          <w:tcPr>
            <w:tcW w:w="4105" w:type="dxa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机车转车盘Φ35M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1）在中华人民共和国境内依法注册、</w:t>
            </w:r>
            <w:r>
              <w:rPr>
                <w:color w:val="000000"/>
                <w:kern w:val="0"/>
                <w:sz w:val="18"/>
                <w:szCs w:val="18"/>
              </w:rPr>
              <w:t>具有一般纳税人资格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、并符合投标项目经营范围、具有招标物资生产能力、具有法人资格能独立承担民事责任的生产商或代理商。</w:t>
            </w:r>
          </w:p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（2）</w:t>
            </w:r>
            <w:r>
              <w:rPr>
                <w:color w:val="000000"/>
                <w:kern w:val="0"/>
                <w:sz w:val="18"/>
                <w:szCs w:val="18"/>
              </w:rPr>
              <w:t>投标人注册资本金不少于人民币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000万</w:t>
            </w:r>
            <w:r>
              <w:rPr>
                <w:color w:val="000000"/>
                <w:kern w:val="0"/>
                <w:sz w:val="18"/>
                <w:szCs w:val="18"/>
              </w:rPr>
              <w:t>元（含）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，代理商注册资本金不少于人民币1000万元（含）。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（7）</w:t>
            </w:r>
            <w:r>
              <w:rPr>
                <w:rFonts w:hint="eastAsia"/>
                <w:sz w:val="18"/>
                <w:szCs w:val="18"/>
              </w:rPr>
              <w:t>一个生产厂家只能授权一个代理商，并且生产厂家与所授权代理商不能同时对同一个包件进行投标。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CL-02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红外设备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红外线轴温探测设备（THDS-B单向）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（1）在中华人民共和国境内依法注册、</w:t>
            </w:r>
            <w:r>
              <w:rPr>
                <w:sz w:val="18"/>
                <w:szCs w:val="18"/>
              </w:rPr>
              <w:t>具有一般纳税人资格</w:t>
            </w:r>
            <w:r>
              <w:rPr>
                <w:rFonts w:hint="eastAsia"/>
                <w:sz w:val="18"/>
                <w:szCs w:val="18"/>
              </w:rPr>
              <w:t>、并符合投标项目经营范围、具有招标物资生产能力、具有法人资格能独立承担民事责任的生产商。</w:t>
            </w:r>
          </w:p>
          <w:p>
            <w:pPr>
              <w:spacing w:line="24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</w:t>
            </w:r>
            <w:r>
              <w:rPr>
                <w:sz w:val="18"/>
                <w:szCs w:val="18"/>
              </w:rPr>
              <w:t>投标人注册资本金不少于人民币</w:t>
            </w:r>
            <w:r>
              <w:rPr>
                <w:rFonts w:hint="eastAsia"/>
                <w:sz w:val="18"/>
                <w:szCs w:val="18"/>
              </w:rPr>
              <w:t>2000万</w:t>
            </w:r>
            <w:r>
              <w:rPr>
                <w:sz w:val="18"/>
                <w:szCs w:val="18"/>
              </w:rPr>
              <w:t>元（含）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红外线备件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红外复示主机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/>
      <w:outlineLvl w:val="1"/>
    </w:pPr>
    <w:rPr>
      <w:rFonts w:eastAsia="宋体" w:cs="Times New Roman"/>
      <w:b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Sunny</dc:creator>
  <cp:lastModifiedBy>Sunny</cp:lastModifiedBy>
  <dcterms:modified xsi:type="dcterms:W3CDTF">2017-07-23T00:40:51Z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